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FC577" w14:textId="469018F2" w:rsid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Hlk172116823"/>
      <w:r>
        <w:rPr>
          <w:rFonts w:ascii="Times New Roman" w:hAnsi="Times New Roman" w:cs="Times New Roman"/>
          <w:sz w:val="24"/>
          <w:szCs w:val="24"/>
        </w:rPr>
        <w:t>Rule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885.1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Executive Council Fees</w:t>
      </w:r>
    </w:p>
    <w:p w14:paraId="74AEDB5D" w14:textId="77777777" w:rsid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DEF390" w14:textId="197C6EB8" w:rsid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Proposed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Amendments</w:t>
      </w:r>
    </w:p>
    <w:p w14:paraId="684E41B2" w14:textId="77777777" w:rsid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5FF46A" w14:textId="590379F4" w:rsidR="005811FD" w:rsidRDefault="005811FD" w:rsidP="005811F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Comment:</w:t>
      </w:r>
      <w:r>
        <w:rPr>
          <w:rFonts w:ascii="Times New Roman" w:hAnsi="Times New Roman" w:cs="Times New Roman"/>
          <w:sz w:val="24"/>
          <w:szCs w:val="24"/>
        </w:rPr>
        <w:tab/>
        <w:t>The proposed amendment would eliminate the fee requirement for a verification, which is available on the Council website.</w:t>
      </w:r>
    </w:p>
    <w:p w14:paraId="23B4AA3C" w14:textId="77777777" w:rsid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85724F" w14:textId="50172A0A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§885.1</w:t>
      </w:r>
      <w:r w:rsidRPr="005811FD">
        <w:rPr>
          <w:rFonts w:ascii="Times New Roman" w:hAnsi="Times New Roman" w:cs="Times New Roman"/>
          <w:sz w:val="24"/>
          <w:szCs w:val="24"/>
        </w:rPr>
        <w:tab/>
      </w:r>
      <w:r w:rsidRPr="005811FD">
        <w:rPr>
          <w:rFonts w:ascii="Times New Roman" w:hAnsi="Times New Roman" w:cs="Times New Roman"/>
          <w:sz w:val="24"/>
          <w:szCs w:val="24"/>
        </w:rPr>
        <w:tab/>
        <w:t>Executive Council Fees</w:t>
      </w:r>
    </w:p>
    <w:p w14:paraId="2F7EF1C7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0E3829" w14:textId="77777777" w:rsidR="005811FD" w:rsidRPr="005811FD" w:rsidRDefault="005811FD" w:rsidP="005811F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(a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General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provisions.</w:t>
      </w:r>
    </w:p>
    <w:p w14:paraId="208D40B5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  </w:t>
      </w:r>
    </w:p>
    <w:p w14:paraId="65F821FD" w14:textId="77777777" w:rsidR="005811FD" w:rsidRPr="005811FD" w:rsidRDefault="005811FD" w:rsidP="005811FD">
      <w:pPr>
        <w:pStyle w:val="NoSpacing"/>
        <w:ind w:left="2880" w:hanging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(1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All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fees are nonrefundable, nontransferable, and cannot be waived except as otherwise permitted by law. Any attempt to cancel, initiate a chargeback, or seek recovery of fees paid to the Council may result in the opening of a complaint against a licensee or applicant.</w:t>
      </w:r>
    </w:p>
    <w:p w14:paraId="7B3CD6A0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02B1A8" w14:textId="77777777" w:rsidR="005811FD" w:rsidRPr="005811FD" w:rsidRDefault="005811FD" w:rsidP="005811FD">
      <w:pPr>
        <w:pStyle w:val="NoSpacing"/>
        <w:ind w:left="2880" w:hanging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(2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Fees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required to be submitted online to the Council must be paid by debit or 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>credit card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>. All other fees paid to the Council must be in the form of a personal check, cashier's check, or money order.</w:t>
      </w:r>
    </w:p>
    <w:p w14:paraId="4A666BD9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43A4C" w14:textId="77777777" w:rsidR="005811FD" w:rsidRPr="005811FD" w:rsidRDefault="005811FD" w:rsidP="005811FD">
      <w:pPr>
        <w:pStyle w:val="NoSpacing"/>
        <w:ind w:left="2880" w:hanging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(3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For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applications and 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>renewals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the Council is required to collect fees to fund the Office of Patient Protection (OPP) in accordance with Texas Occupations Code §101.307, relating to the Health Professions Council.</w:t>
      </w:r>
    </w:p>
    <w:p w14:paraId="127D66FB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E457D7" w14:textId="77777777" w:rsidR="005811FD" w:rsidRPr="005811FD" w:rsidRDefault="005811FD" w:rsidP="005811FD">
      <w:pPr>
        <w:pStyle w:val="NoSpacing"/>
        <w:ind w:left="2880" w:hanging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(4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For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applications, examinations, and renewals the Council is required to collect subscription or convenience fees to recover costs associated with processing through Texas.gov.</w:t>
      </w:r>
    </w:p>
    <w:p w14:paraId="260AB6D6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150098" w14:textId="77777777" w:rsidR="005811FD" w:rsidRPr="005811FD" w:rsidRDefault="005811FD" w:rsidP="005811FD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 xml:space="preserve">(5) </w:t>
      </w:r>
      <w:r w:rsidRPr="005811FD">
        <w:rPr>
          <w:rFonts w:ascii="Times New Roman" w:hAnsi="Times New Roman" w:cs="Times New Roman"/>
          <w:sz w:val="24"/>
          <w:szCs w:val="24"/>
        </w:rPr>
        <w:tab/>
        <w:t>All examination fees are to be paid to the Council's designee.</w:t>
      </w:r>
    </w:p>
    <w:p w14:paraId="34C47A52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9570FB" w14:textId="77777777" w:rsidR="005811FD" w:rsidRPr="005811FD" w:rsidRDefault="005811FD" w:rsidP="005811F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(b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The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Executive Council adopts the following chart of fees:</w:t>
      </w:r>
    </w:p>
    <w:p w14:paraId="301C3B2E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172010" w14:textId="77777777" w:rsidR="005811FD" w:rsidRPr="005811FD" w:rsidRDefault="005811FD" w:rsidP="005811FD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(1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Fees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effective through August 31, 2023.</w:t>
      </w:r>
    </w:p>
    <w:p w14:paraId="0035E32D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58F543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 xml:space="preserve">Figure:  22 TAC §885.1(b)(1) </w:t>
      </w:r>
    </w:p>
    <w:p w14:paraId="25C5E2DC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9CD9C7" w14:textId="77777777" w:rsidR="005811FD" w:rsidRPr="005811FD" w:rsidRDefault="005811FD" w:rsidP="005811FD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(2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Fees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effective on September 1, 2023.</w:t>
      </w:r>
    </w:p>
    <w:p w14:paraId="235B888D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925A39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Figure:  22 TAC §885.1(b)(2)</w:t>
      </w:r>
    </w:p>
    <w:p w14:paraId="4E9BFDBF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625556" w14:textId="77777777" w:rsidR="005811FD" w:rsidRPr="005811FD" w:rsidRDefault="005811FD" w:rsidP="005811F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(c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Late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fees. (Not applicable to Inactive Status)</w:t>
      </w:r>
    </w:p>
    <w:p w14:paraId="4470B2FC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8F5938" w14:textId="77777777" w:rsidR="005811FD" w:rsidRPr="005811FD" w:rsidRDefault="005811FD" w:rsidP="005811FD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lastRenderedPageBreak/>
        <w:t>(1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If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the person's license has been expired (i.e., delinquent) for 90 days or less, the person may renew the license by paying to the Council a fee in an amount equal to one and one-half times the base renewal fee.</w:t>
      </w:r>
    </w:p>
    <w:p w14:paraId="405E93DC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5B2296" w14:textId="77777777" w:rsidR="005811FD" w:rsidRPr="005811FD" w:rsidRDefault="005811FD" w:rsidP="005811FD">
      <w:pPr>
        <w:pStyle w:val="NoSpacing"/>
        <w:ind w:left="2880" w:hanging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(2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If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the person's license has been expired (i.e., delinquent) for more than 90 days but less than one year, the person may renew the license by paying to the Council a fee in an amount equal to two times the base renewal fee.</w:t>
      </w:r>
    </w:p>
    <w:p w14:paraId="4E4A88CB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6EA558" w14:textId="77777777" w:rsidR="005811FD" w:rsidRPr="005811FD" w:rsidRDefault="005811FD" w:rsidP="005811FD">
      <w:pPr>
        <w:pStyle w:val="NoSpacing"/>
        <w:ind w:left="2880" w:hanging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(3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If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the person's license has been expired (i.e., delinquent) for one year or more, the person may not renew the license; however, if eligible the person may apply for reinstatement of the license.</w:t>
      </w:r>
    </w:p>
    <w:p w14:paraId="5BC9F363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8B15AC" w14:textId="77777777" w:rsidR="005811FD" w:rsidRPr="005811FD" w:rsidRDefault="005811FD" w:rsidP="005811FD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(d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Open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Records Fees. In accordance with §552.262 of the Government Code, the Council adopts by reference the rules developed by the Office of the Attorney General in 1 TAC Part 3, Chapter 70 (relating to Cost of Copies of Public Information) for use by each governmental body in determining charges under Government Code, Chapter 552 (Public Information) Subchapter F (Charges for Providing Copies of Public Information).</w:t>
      </w:r>
    </w:p>
    <w:p w14:paraId="0BCB593B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2AD5B9" w14:textId="77777777" w:rsidR="005811FD" w:rsidRPr="005811FD" w:rsidRDefault="005811FD" w:rsidP="005811FD">
      <w:pPr>
        <w:pStyle w:val="NoSpacing"/>
        <w:ind w:left="2160" w:hanging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(e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Military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Exemption for Fees. All licensing and examination base rate fees payable to the Council are waived for applicants who are: </w:t>
      </w:r>
    </w:p>
    <w:p w14:paraId="6D55D0E7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3C1EB0" w14:textId="77777777" w:rsidR="005811FD" w:rsidRPr="005811FD" w:rsidRDefault="005811FD" w:rsidP="005811FD">
      <w:pPr>
        <w:pStyle w:val="NoSpacing"/>
        <w:ind w:left="2880" w:hanging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(1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military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service members and military veterans, as those terms are defined by Chapter 55, Occupations Code, whose military service, training, or education substantially meets all licensure requirements; or  </w:t>
      </w:r>
    </w:p>
    <w:p w14:paraId="6D7207A6" w14:textId="77777777" w:rsidR="005811FD" w:rsidRPr="005811FD" w:rsidRDefault="005811FD" w:rsidP="005811F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9C509B" w14:textId="77777777" w:rsidR="005811FD" w:rsidRPr="005811FD" w:rsidRDefault="005811FD" w:rsidP="005811FD">
      <w:pPr>
        <w:pStyle w:val="NoSpacing"/>
        <w:ind w:left="2880" w:hanging="720"/>
        <w:rPr>
          <w:rFonts w:ascii="Times New Roman" w:hAnsi="Times New Roman" w:cs="Times New Roman"/>
          <w:sz w:val="24"/>
          <w:szCs w:val="24"/>
        </w:rPr>
      </w:pPr>
      <w:r w:rsidRPr="005811FD">
        <w:rPr>
          <w:rFonts w:ascii="Times New Roman" w:hAnsi="Times New Roman" w:cs="Times New Roman"/>
          <w:sz w:val="24"/>
          <w:szCs w:val="24"/>
        </w:rPr>
        <w:t>(2</w:t>
      </w:r>
      <w:proofErr w:type="gramStart"/>
      <w:r w:rsidRPr="005811FD">
        <w:rPr>
          <w:rFonts w:ascii="Times New Roman" w:hAnsi="Times New Roman" w:cs="Times New Roman"/>
          <w:sz w:val="24"/>
          <w:szCs w:val="24"/>
        </w:rPr>
        <w:t xml:space="preserve">) </w:t>
      </w:r>
      <w:r w:rsidRPr="005811FD">
        <w:rPr>
          <w:rFonts w:ascii="Times New Roman" w:hAnsi="Times New Roman" w:cs="Times New Roman"/>
          <w:sz w:val="24"/>
          <w:szCs w:val="24"/>
        </w:rPr>
        <w:tab/>
        <w:t>military</w:t>
      </w:r>
      <w:proofErr w:type="gramEnd"/>
      <w:r w:rsidRPr="005811FD">
        <w:rPr>
          <w:rFonts w:ascii="Times New Roman" w:hAnsi="Times New Roman" w:cs="Times New Roman"/>
          <w:sz w:val="24"/>
          <w:szCs w:val="24"/>
        </w:rPr>
        <w:t xml:space="preserve"> service members, military veterans, and military spouses, as those terms are defined by Chapter 55, Occupations Code, who hold a current license issued by another jurisdiction that has licensing requirements that are substantially equivalent to the requirements of this state.</w:t>
      </w:r>
      <w:bookmarkEnd w:id="0"/>
    </w:p>
    <w:p w14:paraId="69CD3A53" w14:textId="77777777" w:rsidR="005811FD" w:rsidRPr="00C46E76" w:rsidRDefault="005811FD" w:rsidP="005811FD">
      <w:pPr>
        <w:rPr>
          <w:rFonts w:ascii="Times New Roman" w:hAnsi="Times New Roman" w:cs="Times New Roman"/>
          <w:sz w:val="24"/>
          <w:szCs w:val="24"/>
        </w:rPr>
      </w:pPr>
    </w:p>
    <w:p w14:paraId="455EB931" w14:textId="77777777" w:rsidR="0014344E" w:rsidRDefault="0014344E"/>
    <w:sectPr w:rsidR="00143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1FD"/>
    <w:rsid w:val="0014344E"/>
    <w:rsid w:val="00373C0F"/>
    <w:rsid w:val="005811FD"/>
    <w:rsid w:val="008F7E3C"/>
    <w:rsid w:val="009F6E7F"/>
    <w:rsid w:val="00AD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A596F"/>
  <w15:chartTrackingRefBased/>
  <w15:docId w15:val="{F3BD72CD-ACD7-49ED-A5AA-DB7EED14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1FD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1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1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1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1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1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1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1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1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1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1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1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1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1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11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11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11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1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1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1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1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1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11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11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11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1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11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11FD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5811FD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Brenda Skiff</cp:lastModifiedBy>
  <cp:revision>1</cp:revision>
  <dcterms:created xsi:type="dcterms:W3CDTF">2025-01-03T18:46:00Z</dcterms:created>
  <dcterms:modified xsi:type="dcterms:W3CDTF">2025-01-03T18:51:00Z</dcterms:modified>
</cp:coreProperties>
</file>